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OW_GERICHTE VVGE 1966/70 Nr. 29 vom 7. Juni 1970</w:t>
      </w:r>
    </w:p>
    <w:p>
      <w:r>
        <w:t>OW Obergericht, 1970-06-07, DE</w:t>
      </w:r>
    </w:p>
    <w:p>
      <w:r>
        <w:rPr>
          <w:b/>
        </w:rPr>
        <w:t xml:space="preserve">Quelle: </w:t>
      </w:r>
      <w:r>
        <w:t>https://mcp.opencaselaw.ch/entscheid/ow_gerichte_VVGE 1966_70 Nr. 29</w:t>
      </w:r>
    </w:p>
    <w:p>
      <w:r>
        <w:t>FR: OW_GERICHTE VVGE 1966/70 Nr. 29 du 7 juin 1970</w:t>
      </w:r>
    </w:p>
    <w:p>
      <w:r>
        <w:t>IT: OW_GERICHTE VVGE 1966/70 Nr. 29 del 7 giugno 1970</w:t>
      </w:r>
    </w:p>
    <w:p>
      <w:pPr>
        <w:pStyle w:val="Heading2"/>
      </w:pPr>
      <w:r>
        <w:t>Regeste</w:t>
      </w:r>
    </w:p>
    <w:p>
      <w:r>
        <w:t>VVGE 1966/70 Nr. 29, S. 99: Beschwerde gegen die Aufhebung der Bürgergräber durch die Friedhofverordnung der Gemeinde Sarnen. Entscheid vom 8.9.70. A. Am 7. Juni 1970 hat das Stimmvolk von Sarnen eine in Vollzug von Art. 2 der kantonalen V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Friedhofverordnung sei als rechtswidrig zu erklären und vom Regierungsrat nicht zu genehmigen.</w:t>
      </w:r>
    </w:p>
    <w:p>
      <w:r>
        <w:rPr>
          <w:b/>
        </w:rPr>
        <w:t>E. 3</w:t>
      </w:r>
    </w:p>
    <w:p>
      <w:r>
        <w:t>Es sei festzustellen, dass die Bürgergräber nicht über die den Korporationsbürgern und Korporationen zustehenden Rechte hinweg aufgehoben werden können.</w:t>
      </w:r>
    </w:p>
    <w:p>
      <w:r>
        <w:rPr>
          <w:b/>
        </w:rPr>
        <w:t>E. 4</w:t>
      </w:r>
    </w:p>
    <w:p>
      <w:r>
        <w:t>Der Einwohnergemeinderat Sarnen sei zu verhalten, die Aufhebung der Bürgerfamiliengrabstätten bis zur Erledigung der längst pendenten Einsprachen sowie der vorliegenden Beschwerde einzustellen.</w:t>
      </w:r>
    </w:p>
    <w:p>
      <w:r>
        <w:rPr>
          <w:b/>
        </w:rPr>
        <w:t>E. 5</w:t>
      </w:r>
    </w:p>
    <w:p>
      <w:r>
        <w:t>Der vorliegenden Beschwerde sei aufhebende Wirkung zu erteilen.</w:t>
      </w:r>
    </w:p>
    <w:p>
      <w:r>
        <w:rPr>
          <w:b/>
        </w:rPr>
        <w:t>E. 6</w:t>
      </w:r>
    </w:p>
    <w:p>
      <w:r>
        <w:t>Es sei ein zweiter Schriftenwechsel durchzuführen und ein Sachverständigen- Gutachten einzuholen.</w:t>
      </w:r>
    </w:p>
    <w:p>
      <w:r>
        <w:rPr>
          <w:b/>
        </w:rPr>
        <w:t>E. 7</w:t>
      </w:r>
    </w:p>
    <w:p>
      <w:r>
        <w:t>Die Durchführung eines zweiten Schriftenwechsels, wie auch die Einholung eines juristischen Gutachtens ist nicht notwendig und den entsprechenden Begehren ist daher nicht zu entsprechen.</w:t>
      </w:r>
    </w:p>
    <w:p>
      <w:r>
        <w:rPr>
          <w:b/>
        </w:rPr>
        <w:t>E. 8</w:t>
      </w:r>
    </w:p>
    <w:p>
      <w:r>
        <w:t>Verfahrenskosten werden keine erhoben. Eine Parteientschädigung wird nach ständiger Praxis im Verwaltungsverfahren nicht gesprochen. Beschlossen: Die Beschwerde wird, soweit darauf einzutreten ist, abgewiesen. de| fr | it Schlagworte beschwerdeführer sarnen gemeinderat regierungsrat friedhof verhältnismässigkeit frage bürge eigentum einsprache öffentliches recht subjektiv weiler verordnung entscheid Mehr Deskriptoren anzeigen Normen Bund BV: Art.53 BV: Art.53 KV/OW: Art.53 Leitentscheide BGE 49-I-318 S.328 91-I-457 S.464 74-I-18 VVGE 1966/70 Nr. 29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